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01" w:rsidRPr="008D734A" w:rsidRDefault="003B3374" w:rsidP="00D924A5">
      <w:pPr>
        <w:jc w:val="center"/>
        <w:rPr>
          <w:rFonts w:ascii="Arial" w:hAnsi="Arial" w:cs="Arial"/>
          <w:b/>
          <w:bCs/>
          <w:sz w:val="16"/>
          <w:szCs w:val="16"/>
        </w:rPr>
      </w:pPr>
      <w:bookmarkStart w:id="0" w:name="_GoBack"/>
      <w:bookmarkEnd w:id="0"/>
      <w:r w:rsidRPr="008D734A">
        <w:rPr>
          <w:rFonts w:ascii="Arial" w:hAnsi="Arial" w:cs="Arial"/>
          <w:b/>
          <w:bCs/>
          <w:sz w:val="16"/>
          <w:szCs w:val="16"/>
        </w:rPr>
        <w:t>EXTRATO</w:t>
      </w:r>
      <w:r w:rsidR="008D734A">
        <w:rPr>
          <w:rFonts w:ascii="Arial" w:hAnsi="Arial" w:cs="Arial"/>
          <w:b/>
          <w:bCs/>
          <w:sz w:val="16"/>
          <w:szCs w:val="16"/>
        </w:rPr>
        <w:t xml:space="preserve"> DE PUBLICAÇÃO</w:t>
      </w:r>
    </w:p>
    <w:p w:rsidR="003B3374" w:rsidRPr="008D734A" w:rsidRDefault="003B3374" w:rsidP="00D924A5">
      <w:pPr>
        <w:jc w:val="center"/>
        <w:rPr>
          <w:rFonts w:ascii="Arial" w:hAnsi="Arial" w:cs="Arial"/>
          <w:b/>
          <w:bCs/>
          <w:sz w:val="16"/>
          <w:szCs w:val="16"/>
        </w:rPr>
      </w:pPr>
    </w:p>
    <w:p w:rsidR="002F6DF6" w:rsidRPr="008D734A" w:rsidRDefault="002F6DF6" w:rsidP="00D924A5">
      <w:pPr>
        <w:jc w:val="center"/>
        <w:rPr>
          <w:rFonts w:ascii="Arial" w:hAnsi="Arial" w:cs="Arial"/>
          <w:b/>
          <w:bCs/>
          <w:sz w:val="16"/>
          <w:szCs w:val="16"/>
        </w:rPr>
      </w:pPr>
    </w:p>
    <w:p w:rsidR="008755E6" w:rsidRPr="008D734A" w:rsidRDefault="008755E6" w:rsidP="00D924A5">
      <w:pPr>
        <w:jc w:val="center"/>
        <w:rPr>
          <w:rFonts w:ascii="Arial" w:hAnsi="Arial" w:cs="Arial"/>
          <w:b/>
          <w:bCs/>
          <w:sz w:val="16"/>
          <w:szCs w:val="16"/>
        </w:rPr>
      </w:pPr>
      <w:r w:rsidRPr="008D734A">
        <w:rPr>
          <w:rFonts w:ascii="Arial" w:hAnsi="Arial" w:cs="Arial"/>
          <w:b/>
          <w:bCs/>
          <w:sz w:val="16"/>
          <w:szCs w:val="16"/>
        </w:rPr>
        <w:t>EXTRATO DO CONTRATO DE ABERTURA DE CRÉDITO Nº 18.2.0831.1</w:t>
      </w:r>
    </w:p>
    <w:p w:rsidR="008755E6" w:rsidRPr="008D734A" w:rsidRDefault="008755E6" w:rsidP="00D924A5">
      <w:pPr>
        <w:rPr>
          <w:rFonts w:ascii="Arial" w:hAnsi="Arial" w:cs="Arial"/>
          <w:sz w:val="16"/>
          <w:szCs w:val="16"/>
        </w:rPr>
      </w:pPr>
    </w:p>
    <w:p w:rsidR="008755E6" w:rsidRPr="008D734A" w:rsidRDefault="008755E6" w:rsidP="00D924A5">
      <w:pPr>
        <w:rPr>
          <w:rFonts w:ascii="Arial" w:hAnsi="Arial" w:cs="Arial"/>
          <w:sz w:val="16"/>
          <w:szCs w:val="16"/>
        </w:rPr>
      </w:pPr>
      <w:r w:rsidRPr="008D734A">
        <w:rPr>
          <w:rFonts w:ascii="Arial" w:hAnsi="Arial" w:cs="Arial"/>
          <w:b/>
          <w:bCs/>
          <w:sz w:val="16"/>
          <w:szCs w:val="16"/>
        </w:rPr>
        <w:t>FINANCIARDOR</w:t>
      </w:r>
      <w:r w:rsidRPr="008D734A">
        <w:rPr>
          <w:rFonts w:ascii="Arial" w:hAnsi="Arial" w:cs="Arial"/>
          <w:sz w:val="16"/>
          <w:szCs w:val="16"/>
        </w:rPr>
        <w:t>: BANCO NACIONAL DE DESEMVOLVIMENTO ECONÔMICO E SOCIAL – BNDES</w:t>
      </w:r>
    </w:p>
    <w:p w:rsidR="008755E6" w:rsidRPr="008D734A" w:rsidRDefault="008755E6" w:rsidP="00D924A5">
      <w:pPr>
        <w:rPr>
          <w:rFonts w:ascii="Arial" w:hAnsi="Arial" w:cs="Arial"/>
          <w:sz w:val="16"/>
          <w:szCs w:val="16"/>
        </w:rPr>
      </w:pPr>
      <w:r w:rsidRPr="008D734A">
        <w:rPr>
          <w:rFonts w:ascii="Arial" w:hAnsi="Arial" w:cs="Arial"/>
          <w:b/>
          <w:bCs/>
          <w:sz w:val="16"/>
          <w:szCs w:val="16"/>
        </w:rPr>
        <w:t>FINANCIADO</w:t>
      </w:r>
      <w:r w:rsidRPr="008D734A">
        <w:rPr>
          <w:rFonts w:ascii="Arial" w:hAnsi="Arial" w:cs="Arial"/>
          <w:sz w:val="16"/>
          <w:szCs w:val="16"/>
        </w:rPr>
        <w:t>: PREFEITURA DE MACAPÁ</w:t>
      </w:r>
    </w:p>
    <w:p w:rsidR="007F1172" w:rsidRPr="008D734A" w:rsidRDefault="008755E6" w:rsidP="00D924A5">
      <w:pPr>
        <w:rPr>
          <w:rFonts w:ascii="Arial" w:hAnsi="Arial" w:cs="Arial"/>
          <w:sz w:val="16"/>
          <w:szCs w:val="16"/>
        </w:rPr>
      </w:pPr>
      <w:r w:rsidRPr="008D734A">
        <w:rPr>
          <w:rFonts w:ascii="Arial" w:hAnsi="Arial" w:cs="Arial"/>
          <w:b/>
          <w:bCs/>
          <w:sz w:val="16"/>
          <w:szCs w:val="16"/>
        </w:rPr>
        <w:t>OBJETO</w:t>
      </w:r>
      <w:r w:rsidRPr="008D734A">
        <w:rPr>
          <w:rFonts w:ascii="Arial" w:hAnsi="Arial" w:cs="Arial"/>
          <w:sz w:val="16"/>
          <w:szCs w:val="16"/>
        </w:rPr>
        <w:t xml:space="preserve">: </w:t>
      </w:r>
      <w:r w:rsidR="00346715" w:rsidRPr="008D734A">
        <w:rPr>
          <w:rFonts w:ascii="Arial" w:hAnsi="Arial" w:cs="Arial"/>
          <w:sz w:val="16"/>
          <w:szCs w:val="16"/>
        </w:rPr>
        <w:t xml:space="preserve">Financiamento destinado </w:t>
      </w:r>
      <w:proofErr w:type="gramStart"/>
      <w:r w:rsidR="00346715" w:rsidRPr="008D734A">
        <w:rPr>
          <w:rFonts w:ascii="Arial" w:hAnsi="Arial" w:cs="Arial"/>
          <w:sz w:val="16"/>
          <w:szCs w:val="16"/>
        </w:rPr>
        <w:t>para  Consolidar</w:t>
      </w:r>
      <w:proofErr w:type="gramEnd"/>
      <w:r w:rsidR="00346715" w:rsidRPr="008D734A">
        <w:rPr>
          <w:rFonts w:ascii="Arial" w:hAnsi="Arial" w:cs="Arial"/>
          <w:sz w:val="16"/>
          <w:szCs w:val="16"/>
        </w:rPr>
        <w:t xml:space="preserve"> o processo de modernização da Administração Tributária e da gestão pública municipal, por meio de ações que promovam a inovação, e o aperfeiçoamento da arrecadação e da fiscalização dos tributos do município, dos serviços de saúde e de educação, e da prestação de serviços essenciais ao cidadão contribuinte.</w:t>
      </w:r>
    </w:p>
    <w:p w:rsidR="00346715" w:rsidRPr="008D734A" w:rsidRDefault="00346715" w:rsidP="00D924A5">
      <w:pPr>
        <w:rPr>
          <w:rFonts w:ascii="Arial" w:hAnsi="Arial" w:cs="Arial"/>
          <w:sz w:val="16"/>
          <w:szCs w:val="16"/>
        </w:rPr>
      </w:pPr>
      <w:r w:rsidRPr="008D734A">
        <w:rPr>
          <w:rFonts w:ascii="Arial" w:hAnsi="Arial" w:cs="Arial"/>
          <w:b/>
          <w:bCs/>
          <w:sz w:val="16"/>
          <w:szCs w:val="16"/>
        </w:rPr>
        <w:t>Valor</w:t>
      </w:r>
      <w:r w:rsidRPr="008D734A">
        <w:rPr>
          <w:rFonts w:ascii="Arial" w:hAnsi="Arial" w:cs="Arial"/>
          <w:sz w:val="16"/>
          <w:szCs w:val="16"/>
        </w:rPr>
        <w:t>: 20.000.000,00 (vinte milhões)</w:t>
      </w:r>
    </w:p>
    <w:p w:rsidR="008D734A" w:rsidRPr="008D734A" w:rsidRDefault="00346715" w:rsidP="008D734A">
      <w:pPr>
        <w:autoSpaceDE w:val="0"/>
        <w:autoSpaceDN w:val="0"/>
        <w:adjustRightInd w:val="0"/>
        <w:jc w:val="left"/>
        <w:rPr>
          <w:rFonts w:ascii="Arial" w:hAnsi="Arial" w:cs="Arial"/>
          <w:sz w:val="16"/>
          <w:szCs w:val="16"/>
        </w:rPr>
      </w:pPr>
      <w:r w:rsidRPr="008D734A">
        <w:rPr>
          <w:rFonts w:ascii="Arial" w:hAnsi="Arial" w:cs="Arial"/>
          <w:b/>
          <w:bCs/>
          <w:sz w:val="16"/>
          <w:szCs w:val="16"/>
        </w:rPr>
        <w:t xml:space="preserve">Prazo de </w:t>
      </w:r>
      <w:r w:rsidR="007F1172" w:rsidRPr="008D734A">
        <w:rPr>
          <w:rFonts w:ascii="Arial" w:hAnsi="Arial" w:cs="Arial"/>
          <w:b/>
          <w:bCs/>
          <w:sz w:val="16"/>
          <w:szCs w:val="16"/>
        </w:rPr>
        <w:t>amortização</w:t>
      </w:r>
      <w:r w:rsidRPr="008D734A">
        <w:rPr>
          <w:rFonts w:ascii="Arial" w:hAnsi="Arial" w:cs="Arial"/>
          <w:sz w:val="16"/>
          <w:szCs w:val="16"/>
        </w:rPr>
        <w:t xml:space="preserve">: </w:t>
      </w:r>
      <w:r w:rsidR="008D734A" w:rsidRPr="008D734A">
        <w:rPr>
          <w:rFonts w:ascii="Arial" w:hAnsi="Arial" w:cs="Arial"/>
          <w:sz w:val="16"/>
          <w:szCs w:val="16"/>
        </w:rPr>
        <w:t>72 (setenta e dois) meses, sendo as prestações mensais e</w:t>
      </w:r>
    </w:p>
    <w:p w:rsidR="008D734A" w:rsidRPr="008D734A" w:rsidRDefault="008D734A" w:rsidP="008D734A">
      <w:pPr>
        <w:rPr>
          <w:rFonts w:ascii="Arial" w:hAnsi="Arial" w:cs="Arial"/>
          <w:b/>
          <w:bCs/>
          <w:sz w:val="16"/>
          <w:szCs w:val="16"/>
        </w:rPr>
      </w:pPr>
      <w:r w:rsidRPr="008D734A">
        <w:rPr>
          <w:rFonts w:ascii="Arial" w:hAnsi="Arial" w:cs="Arial"/>
          <w:sz w:val="16"/>
          <w:szCs w:val="16"/>
        </w:rPr>
        <w:t>sucessivas.</w:t>
      </w:r>
      <w:r w:rsidRPr="008D734A">
        <w:rPr>
          <w:rFonts w:ascii="Arial" w:hAnsi="Arial" w:cs="Arial"/>
          <w:b/>
          <w:bCs/>
          <w:sz w:val="16"/>
          <w:szCs w:val="16"/>
        </w:rPr>
        <w:t xml:space="preserve"> </w:t>
      </w:r>
    </w:p>
    <w:p w:rsidR="001101E8" w:rsidRPr="008D734A" w:rsidRDefault="007F1172" w:rsidP="008D734A">
      <w:pPr>
        <w:rPr>
          <w:rFonts w:ascii="Arial" w:hAnsi="Arial" w:cs="Arial"/>
          <w:sz w:val="16"/>
          <w:szCs w:val="16"/>
        </w:rPr>
      </w:pPr>
      <w:r w:rsidRPr="008D734A">
        <w:rPr>
          <w:rFonts w:ascii="Arial" w:hAnsi="Arial" w:cs="Arial"/>
          <w:b/>
          <w:bCs/>
          <w:sz w:val="16"/>
          <w:szCs w:val="16"/>
        </w:rPr>
        <w:t>Prazo de c</w:t>
      </w:r>
      <w:r w:rsidR="001101E8" w:rsidRPr="008D734A">
        <w:rPr>
          <w:rFonts w:ascii="Arial" w:hAnsi="Arial" w:cs="Arial"/>
          <w:b/>
          <w:bCs/>
          <w:sz w:val="16"/>
          <w:szCs w:val="16"/>
        </w:rPr>
        <w:t>arência</w:t>
      </w:r>
      <w:r w:rsidR="001101E8" w:rsidRPr="008D734A">
        <w:rPr>
          <w:rFonts w:ascii="Arial" w:hAnsi="Arial" w:cs="Arial"/>
          <w:sz w:val="16"/>
          <w:szCs w:val="16"/>
        </w:rPr>
        <w:t>: 24 (vinte e quatro) meses, contados a partir do dia 15 (quinze) subsequente à data da Declaração de Eficácia deste Contrato, nos termos da Cláusula Vigésima Terceira (Eficácia do Contrato).</w:t>
      </w:r>
    </w:p>
    <w:p w:rsidR="007F1172" w:rsidRPr="008D734A" w:rsidRDefault="007F1172" w:rsidP="008D734A">
      <w:pPr>
        <w:autoSpaceDE w:val="0"/>
        <w:autoSpaceDN w:val="0"/>
        <w:adjustRightInd w:val="0"/>
        <w:rPr>
          <w:rFonts w:ascii="Arial" w:hAnsi="Arial" w:cs="Arial"/>
          <w:sz w:val="16"/>
          <w:szCs w:val="16"/>
        </w:rPr>
      </w:pPr>
      <w:r w:rsidRPr="008D734A">
        <w:rPr>
          <w:rFonts w:ascii="Arial" w:hAnsi="Arial" w:cs="Arial"/>
          <w:b/>
          <w:bCs/>
          <w:sz w:val="16"/>
          <w:szCs w:val="16"/>
        </w:rPr>
        <w:t>Taxa de juros</w:t>
      </w:r>
      <w:r w:rsidRPr="008D734A">
        <w:rPr>
          <w:rFonts w:ascii="Arial" w:hAnsi="Arial" w:cs="Arial"/>
          <w:sz w:val="16"/>
          <w:szCs w:val="16"/>
        </w:rPr>
        <w:t xml:space="preserve">: </w:t>
      </w:r>
      <w:r w:rsidR="008D734A" w:rsidRPr="008D734A">
        <w:rPr>
          <w:rFonts w:ascii="Arial" w:hAnsi="Arial" w:cs="Arial"/>
          <w:sz w:val="16"/>
          <w:szCs w:val="16"/>
        </w:rPr>
        <w:t xml:space="preserve">variação acumulada do Índice Nacional de Preços ao Consumidor Amplo divulgado pelo IBGE (“IPCA”), calculado de forma pro rata </w:t>
      </w:r>
      <w:proofErr w:type="spellStart"/>
      <w:r w:rsidR="008D734A" w:rsidRPr="008D734A">
        <w:rPr>
          <w:rFonts w:ascii="Arial" w:hAnsi="Arial" w:cs="Arial"/>
          <w:sz w:val="16"/>
          <w:szCs w:val="16"/>
        </w:rPr>
        <w:t>temporis</w:t>
      </w:r>
      <w:proofErr w:type="spellEnd"/>
      <w:r w:rsidR="008D734A" w:rsidRPr="008D734A">
        <w:rPr>
          <w:rFonts w:ascii="Arial" w:hAnsi="Arial" w:cs="Arial"/>
          <w:sz w:val="16"/>
          <w:szCs w:val="16"/>
        </w:rPr>
        <w:t>, (</w:t>
      </w:r>
      <w:proofErr w:type="spellStart"/>
      <w:r w:rsidR="008D734A" w:rsidRPr="008D734A">
        <w:rPr>
          <w:rFonts w:ascii="Arial" w:hAnsi="Arial" w:cs="Arial"/>
          <w:sz w:val="16"/>
          <w:szCs w:val="16"/>
        </w:rPr>
        <w:t>ii</w:t>
      </w:r>
      <w:proofErr w:type="spellEnd"/>
      <w:r w:rsidR="008D734A" w:rsidRPr="008D734A">
        <w:rPr>
          <w:rFonts w:ascii="Arial" w:hAnsi="Arial" w:cs="Arial"/>
          <w:sz w:val="16"/>
          <w:szCs w:val="16"/>
        </w:rPr>
        <w:t>) taxa de juros prefixada de 2,03 % (dois inteiros e três centésimos por cento) ao ano e (</w:t>
      </w:r>
      <w:proofErr w:type="spellStart"/>
      <w:r w:rsidR="008D734A" w:rsidRPr="008D734A">
        <w:rPr>
          <w:rFonts w:ascii="Arial" w:hAnsi="Arial" w:cs="Arial"/>
          <w:sz w:val="16"/>
          <w:szCs w:val="16"/>
        </w:rPr>
        <w:t>iii</w:t>
      </w:r>
      <w:proofErr w:type="spellEnd"/>
      <w:r w:rsidR="008D734A" w:rsidRPr="008D734A">
        <w:rPr>
          <w:rFonts w:ascii="Arial" w:hAnsi="Arial" w:cs="Arial"/>
          <w:sz w:val="16"/>
          <w:szCs w:val="16"/>
        </w:rPr>
        <w:t>) spread do BNDES de 2,3 % (dois inteiros e três décimos por cento) ao ano (“Spread BNDES”)</w:t>
      </w:r>
    </w:p>
    <w:p w:rsidR="001101E8" w:rsidRPr="008D734A" w:rsidRDefault="001101E8" w:rsidP="00D924A5">
      <w:pPr>
        <w:autoSpaceDE w:val="0"/>
        <w:autoSpaceDN w:val="0"/>
        <w:adjustRightInd w:val="0"/>
        <w:rPr>
          <w:rFonts w:ascii="Arial" w:hAnsi="Arial" w:cs="Arial"/>
          <w:sz w:val="16"/>
          <w:szCs w:val="16"/>
        </w:rPr>
      </w:pPr>
      <w:r w:rsidRPr="008D734A">
        <w:rPr>
          <w:rFonts w:ascii="Arial" w:hAnsi="Arial" w:cs="Arial"/>
          <w:b/>
          <w:bCs/>
          <w:sz w:val="16"/>
          <w:szCs w:val="16"/>
        </w:rPr>
        <w:t>Eficácia do Contrato</w:t>
      </w:r>
      <w:r w:rsidRPr="008D734A">
        <w:rPr>
          <w:rFonts w:ascii="Arial" w:hAnsi="Arial" w:cs="Arial"/>
          <w:sz w:val="16"/>
          <w:szCs w:val="16"/>
        </w:rPr>
        <w:t>: A eficácia deste Contrato fica condicionada à existência de limite para endividamento do Setor Público, conforme estabelecido pelo Conselho Monetário Nacional, nos termos do artigo 5º da Resolução nº 4.589, de 29 de junho de 2017, do Banco Central do Brasil, que deverá ser verificada após o registro do presente instrumento no Sistema de Registro de Operações com o Setor Público (CADIP).</w:t>
      </w:r>
    </w:p>
    <w:p w:rsidR="007F1172" w:rsidRPr="008D734A" w:rsidRDefault="007F1172" w:rsidP="00D924A5">
      <w:pPr>
        <w:autoSpaceDE w:val="0"/>
        <w:autoSpaceDN w:val="0"/>
        <w:adjustRightInd w:val="0"/>
        <w:rPr>
          <w:rFonts w:ascii="Arial" w:hAnsi="Arial" w:cs="Arial"/>
          <w:sz w:val="16"/>
          <w:szCs w:val="16"/>
        </w:rPr>
      </w:pPr>
      <w:r w:rsidRPr="008D734A">
        <w:rPr>
          <w:rFonts w:ascii="Arial" w:hAnsi="Arial" w:cs="Arial"/>
          <w:b/>
          <w:bCs/>
          <w:sz w:val="16"/>
          <w:szCs w:val="16"/>
        </w:rPr>
        <w:t>Garantia e reserva de meio de pagamento</w:t>
      </w:r>
      <w:r w:rsidRPr="008D734A">
        <w:rPr>
          <w:rFonts w:ascii="Arial" w:hAnsi="Arial" w:cs="Arial"/>
          <w:sz w:val="16"/>
          <w:szCs w:val="16"/>
        </w:rPr>
        <w:t>: Parcelas ou quotas-parte do Fundo de</w:t>
      </w:r>
    </w:p>
    <w:p w:rsidR="007F1172" w:rsidRPr="008D734A" w:rsidRDefault="007F1172" w:rsidP="00D924A5">
      <w:pPr>
        <w:autoSpaceDE w:val="0"/>
        <w:autoSpaceDN w:val="0"/>
        <w:adjustRightInd w:val="0"/>
        <w:rPr>
          <w:rFonts w:ascii="Arial" w:hAnsi="Arial" w:cs="Arial"/>
          <w:sz w:val="16"/>
          <w:szCs w:val="16"/>
        </w:rPr>
      </w:pPr>
      <w:r w:rsidRPr="008D734A">
        <w:rPr>
          <w:rFonts w:ascii="Arial" w:hAnsi="Arial" w:cs="Arial"/>
          <w:sz w:val="16"/>
          <w:szCs w:val="16"/>
        </w:rPr>
        <w:t>Participação dos Municípios – FPM e dos repasses do Imposto sobre Operações</w:t>
      </w:r>
    </w:p>
    <w:p w:rsidR="007F1172" w:rsidRPr="008D734A" w:rsidRDefault="007F1172" w:rsidP="00D924A5">
      <w:pPr>
        <w:autoSpaceDE w:val="0"/>
        <w:autoSpaceDN w:val="0"/>
        <w:adjustRightInd w:val="0"/>
        <w:rPr>
          <w:rFonts w:ascii="Arial" w:hAnsi="Arial" w:cs="Arial"/>
          <w:sz w:val="16"/>
          <w:szCs w:val="16"/>
        </w:rPr>
      </w:pPr>
      <w:r w:rsidRPr="008D734A">
        <w:rPr>
          <w:rFonts w:ascii="Arial" w:hAnsi="Arial" w:cs="Arial"/>
          <w:sz w:val="16"/>
          <w:szCs w:val="16"/>
        </w:rPr>
        <w:t xml:space="preserve">Relativas à Circulação de Mercadorias e sobre Prestações de Serviços de </w:t>
      </w:r>
      <w:r w:rsidR="00D924A5" w:rsidRPr="008D734A">
        <w:rPr>
          <w:rFonts w:ascii="Arial" w:hAnsi="Arial" w:cs="Arial"/>
          <w:sz w:val="16"/>
          <w:szCs w:val="16"/>
        </w:rPr>
        <w:t>t</w:t>
      </w:r>
      <w:r w:rsidRPr="008D734A">
        <w:rPr>
          <w:rFonts w:ascii="Arial" w:hAnsi="Arial" w:cs="Arial"/>
          <w:sz w:val="16"/>
          <w:szCs w:val="16"/>
        </w:rPr>
        <w:t>ransporte</w:t>
      </w:r>
      <w:r w:rsidR="00D924A5" w:rsidRPr="008D734A">
        <w:rPr>
          <w:rFonts w:ascii="Arial" w:hAnsi="Arial" w:cs="Arial"/>
          <w:sz w:val="16"/>
          <w:szCs w:val="16"/>
        </w:rPr>
        <w:t xml:space="preserve"> </w:t>
      </w:r>
      <w:r w:rsidRPr="008D734A">
        <w:rPr>
          <w:rFonts w:ascii="Arial" w:hAnsi="Arial" w:cs="Arial"/>
          <w:sz w:val="16"/>
          <w:szCs w:val="16"/>
        </w:rPr>
        <w:t>Interestadual, Intermunicipal e de Comunicação – ICMS, destinados ao</w:t>
      </w:r>
    </w:p>
    <w:p w:rsidR="007F1172" w:rsidRPr="008D734A" w:rsidRDefault="007F1172" w:rsidP="00D924A5">
      <w:pPr>
        <w:autoSpaceDE w:val="0"/>
        <w:autoSpaceDN w:val="0"/>
        <w:adjustRightInd w:val="0"/>
        <w:rPr>
          <w:rFonts w:ascii="Arial" w:hAnsi="Arial" w:cs="Arial"/>
          <w:sz w:val="16"/>
          <w:szCs w:val="16"/>
        </w:rPr>
      </w:pPr>
      <w:r w:rsidRPr="008D734A">
        <w:rPr>
          <w:rFonts w:ascii="Arial" w:hAnsi="Arial" w:cs="Arial"/>
          <w:sz w:val="16"/>
          <w:szCs w:val="16"/>
        </w:rPr>
        <w:t>BENEFICIÁRIO</w:t>
      </w:r>
    </w:p>
    <w:p w:rsidR="007F1172" w:rsidRPr="008D734A" w:rsidRDefault="007F1172" w:rsidP="001101E8">
      <w:pPr>
        <w:autoSpaceDE w:val="0"/>
        <w:autoSpaceDN w:val="0"/>
        <w:adjustRightInd w:val="0"/>
        <w:jc w:val="left"/>
        <w:rPr>
          <w:rFonts w:ascii="Arial" w:hAnsi="Arial" w:cs="Arial"/>
          <w:szCs w:val="24"/>
        </w:rPr>
      </w:pPr>
      <w:r w:rsidRPr="008D734A">
        <w:rPr>
          <w:rFonts w:ascii="Arial" w:hAnsi="Arial" w:cs="Arial"/>
          <w:b/>
          <w:bCs/>
          <w:sz w:val="16"/>
          <w:szCs w:val="16"/>
        </w:rPr>
        <w:t>Data da assinatura do contrato</w:t>
      </w:r>
      <w:r w:rsidRPr="008D734A">
        <w:rPr>
          <w:rFonts w:ascii="Arial" w:hAnsi="Arial" w:cs="Arial"/>
          <w:sz w:val="16"/>
          <w:szCs w:val="16"/>
        </w:rPr>
        <w:t>: 10 de outubro de 2019.</w:t>
      </w:r>
    </w:p>
    <w:p w:rsidR="007F1172" w:rsidRPr="008D734A" w:rsidRDefault="007F1172" w:rsidP="001101E8">
      <w:pPr>
        <w:autoSpaceDE w:val="0"/>
        <w:autoSpaceDN w:val="0"/>
        <w:adjustRightInd w:val="0"/>
        <w:jc w:val="left"/>
        <w:rPr>
          <w:rFonts w:ascii="Arial" w:hAnsi="Arial" w:cs="Arial"/>
          <w:szCs w:val="24"/>
        </w:rPr>
      </w:pPr>
    </w:p>
    <w:p w:rsidR="001101E8" w:rsidRPr="008D734A" w:rsidRDefault="001101E8" w:rsidP="001101E8">
      <w:pPr>
        <w:autoSpaceDE w:val="0"/>
        <w:autoSpaceDN w:val="0"/>
        <w:adjustRightInd w:val="0"/>
        <w:rPr>
          <w:rFonts w:ascii="Arial" w:hAnsi="Arial" w:cs="Arial"/>
        </w:rPr>
      </w:pPr>
    </w:p>
    <w:p w:rsidR="003B3374" w:rsidRPr="008D734A" w:rsidRDefault="003B3374">
      <w:pPr>
        <w:rPr>
          <w:rFonts w:ascii="Arial" w:hAnsi="Arial" w:cs="Arial"/>
        </w:rPr>
      </w:pPr>
      <w:r w:rsidRPr="008D734A">
        <w:rPr>
          <w:rFonts w:ascii="Arial" w:hAnsi="Arial" w:cs="Arial"/>
        </w:rPr>
        <w:t xml:space="preserve"> </w:t>
      </w:r>
    </w:p>
    <w:sectPr w:rsidR="003B3374" w:rsidRPr="008D734A" w:rsidSect="00664307">
      <w:pgSz w:w="11906" w:h="16838" w:code="9"/>
      <w:pgMar w:top="1701" w:right="576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74"/>
    <w:rsid w:val="001101E8"/>
    <w:rsid w:val="002E1FA4"/>
    <w:rsid w:val="002F6DF6"/>
    <w:rsid w:val="00346715"/>
    <w:rsid w:val="003B3374"/>
    <w:rsid w:val="00664307"/>
    <w:rsid w:val="007F1172"/>
    <w:rsid w:val="008755E6"/>
    <w:rsid w:val="008D734A"/>
    <w:rsid w:val="00CB3E2B"/>
    <w:rsid w:val="00D924A5"/>
    <w:rsid w:val="00D96F01"/>
    <w:rsid w:val="00FF0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C7405-CC65-4366-BBE1-7D081D0E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raya de oliveira santana</dc:creator>
  <cp:keywords/>
  <dc:description/>
  <cp:lastModifiedBy>User</cp:lastModifiedBy>
  <cp:revision>2</cp:revision>
  <dcterms:created xsi:type="dcterms:W3CDTF">2020-09-02T14:26:00Z</dcterms:created>
  <dcterms:modified xsi:type="dcterms:W3CDTF">2020-09-02T14:26:00Z</dcterms:modified>
</cp:coreProperties>
</file>